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BC64E">
      <w:pPr>
        <w:pStyle w:val="22"/>
        <w:tabs>
          <w:tab w:val="right" w:pos="9639"/>
        </w:tabs>
        <w:spacing w:after="0"/>
        <w:rPr>
          <w:rFonts w:hint="default"/>
          <w:b/>
          <w:i/>
          <w:sz w:val="28"/>
          <w:lang w:val="en-US"/>
        </w:rPr>
      </w:pPr>
      <w:r>
        <w:rPr>
          <w:b/>
          <w:sz w:val="24"/>
          <w:lang w:val="en-CA"/>
        </w:rPr>
        <w:t>3GPP TSG-SA5 Meeting #163</w:t>
      </w:r>
      <w:r>
        <w:rPr>
          <w:b/>
          <w:i/>
          <w:sz w:val="28"/>
          <w:lang w:val="en-CA"/>
        </w:rPr>
        <w:tab/>
      </w:r>
      <w:r>
        <w:rPr>
          <w:b/>
          <w:i/>
          <w:sz w:val="28"/>
          <w:lang w:val="en-CA"/>
        </w:rPr>
        <w:t>S5-25</w:t>
      </w:r>
      <w:r>
        <w:rPr>
          <w:rFonts w:hint="eastAsia"/>
          <w:b/>
          <w:i/>
          <w:sz w:val="28"/>
        </w:rPr>
        <w:t>4</w:t>
      </w:r>
      <w:r>
        <w:rPr>
          <w:rFonts w:hint="eastAsia" w:eastAsia="宋体"/>
          <w:b/>
          <w:i/>
          <w:sz w:val="28"/>
          <w:lang w:val="en-US" w:eastAsia="zh-CN"/>
        </w:rPr>
        <w:t>906</w:t>
      </w:r>
    </w:p>
    <w:p w14:paraId="0288D3A7">
      <w:pPr>
        <w:pStyle w:val="11"/>
        <w:pBdr>
          <w:bottom w:val="single" w:color="auto" w:sz="4" w:space="1"/>
        </w:pBdr>
        <w:tabs>
          <w:tab w:val="right" w:pos="9638"/>
        </w:tabs>
        <w:rPr>
          <w:rFonts w:cs="Arial"/>
        </w:rPr>
      </w:pPr>
      <w:r>
        <w:rPr>
          <w:rFonts w:ascii="Arial" w:hAnsi="Arial" w:eastAsia="宋体"/>
          <w:b/>
          <w:sz w:val="24"/>
          <w:lang w:val="en-CA"/>
        </w:rPr>
        <w:t>Wuhan, China, 13 - 17 October 2025</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2"/>
      <w:r>
        <w:rPr>
          <w:rFonts w:hint="eastAsia" w:ascii="Arial" w:hAnsi="Arial" w:eastAsia="Batang"/>
          <w:b/>
          <w:sz w:val="24"/>
          <w:szCs w:val="24"/>
          <w:lang w:eastAsia="zh-CN"/>
        </w:rPr>
        <w:t>Moderator</w:t>
      </w:r>
      <w:r>
        <w:rPr>
          <w:rFonts w:hint="eastAsia" w:ascii="Arial" w:hAnsi="Arial" w:eastAsia="Batang"/>
          <w:b/>
          <w:sz w:val="24"/>
          <w:szCs w:val="24"/>
          <w:lang w:val="en-US" w:eastAsia="zh-CN"/>
        </w:rPr>
        <w:t xml:space="preserve"> (</w:t>
      </w:r>
      <w:r>
        <w:rPr>
          <w:rFonts w:hint="eastAsia" w:ascii="Arial" w:hAnsi="Arial" w:eastAsia="Batang"/>
          <w:b/>
          <w:sz w:val="24"/>
          <w:szCs w:val="24"/>
          <w:lang w:eastAsia="zh-CN"/>
        </w:rPr>
        <w:t>China Mobile</w:t>
      </w:r>
      <w:bookmarkEnd w:id="0"/>
      <w:r>
        <w:rPr>
          <w:rFonts w:hint="eastAsia" w:ascii="Arial" w:hAnsi="Arial" w:eastAsia="Batang"/>
          <w:b/>
          <w:sz w:val="24"/>
          <w:szCs w:val="24"/>
          <w:lang w:val="en-US" w:eastAsia="zh-CN"/>
        </w:rPr>
        <w:t xml:space="preserve">), </w:t>
      </w:r>
      <w:r>
        <w:rPr>
          <w:rFonts w:ascii="Arial" w:hAnsi="Arial" w:eastAsia="Batang"/>
          <w:b/>
          <w:sz w:val="24"/>
          <w:szCs w:val="24"/>
          <w:lang w:val="en-US" w:eastAsia="zh-CN"/>
        </w:rPr>
        <w:t>Ericsson</w:t>
      </w:r>
      <w:r>
        <w:rPr>
          <w:rFonts w:hint="eastAsia" w:ascii="Arial" w:hAnsi="Arial" w:eastAsia="Batang"/>
          <w:b/>
          <w:sz w:val="24"/>
          <w:szCs w:val="24"/>
          <w:lang w:val="en-US" w:eastAsia="zh-CN"/>
        </w:rPr>
        <w:t xml:space="preserve">, </w:t>
      </w:r>
      <w:r>
        <w:rPr>
          <w:rFonts w:ascii="Arial" w:hAnsi="Arial" w:eastAsia="Batang"/>
          <w:b/>
          <w:sz w:val="24"/>
          <w:szCs w:val="24"/>
          <w:lang w:val="en-US" w:eastAsia="zh-CN"/>
        </w:rPr>
        <w:t>Nokia</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ascii="Arial" w:hAnsi="Arial" w:eastAsia="Batang" w:cs="Arial"/>
          <w:b/>
          <w:sz w:val="24"/>
          <w:szCs w:val="24"/>
          <w:lang w:eastAsia="zh-CN"/>
        </w:rPr>
        <w:t xml:space="preserve"> on </w:t>
      </w:r>
      <w:r>
        <w:rPr>
          <w:rFonts w:hint="eastAsia" w:ascii="Arial" w:hAnsi="Arial" w:eastAsia="Batang" w:cs="Arial"/>
          <w:b/>
          <w:sz w:val="24"/>
          <w:szCs w:val="24"/>
          <w:lang w:eastAsia="zh-CN"/>
        </w:rPr>
        <w:t>Life Cycle Management (LCM) of NF Deployment</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New WID on </w:t>
      </w:r>
      <w:r>
        <w:rPr>
          <w:rFonts w:hint="eastAsia" w:ascii="Arial" w:hAnsi="Arial" w:eastAsia="Times New Roman" w:cs="Times New Roman"/>
          <w:color w:val="auto"/>
          <w:sz w:val="36"/>
          <w:szCs w:val="20"/>
          <w:lang w:eastAsia="ja-JP"/>
        </w:rPr>
        <w:t>Life Cycle Management (LCM) of NF</w:t>
      </w:r>
      <w:r>
        <w:rPr>
          <w:rFonts w:hint="eastAsia" w:ascii="Arial" w:hAnsi="Arial" w:eastAsia="宋体" w:cs="Times New Roman"/>
          <w:color w:val="auto"/>
          <w:sz w:val="36"/>
          <w:szCs w:val="20"/>
          <w:lang w:val="en-US" w:eastAsia="zh-CN"/>
        </w:rPr>
        <w:t xml:space="preserve"> </w:t>
      </w:r>
      <w:r>
        <w:rPr>
          <w:rFonts w:hint="eastAsia" w:ascii="Arial" w:hAnsi="Arial" w:eastAsia="Times New Roman" w:cs="Times New Roman"/>
          <w:color w:val="auto"/>
          <w:sz w:val="36"/>
          <w:szCs w:val="20"/>
          <w:lang w:eastAsia="ja-JP"/>
        </w:rPr>
        <w:t>Deployment</w:t>
      </w:r>
      <w:r>
        <w:rPr>
          <w:rFonts w:ascii="Arial" w:hAnsi="Arial" w:eastAsia="Times New Roman" w:cs="Times New Roman"/>
          <w:color w:val="auto"/>
          <w:sz w:val="36"/>
          <w:szCs w:val="20"/>
          <w:lang w:eastAsia="ja-JP"/>
        </w:rPr>
        <w:tab/>
      </w:r>
    </w:p>
    <w:p w14:paraId="1845B441">
      <w:pPr>
        <w:pStyle w:val="24"/>
      </w:pPr>
      <w:r>
        <w:t>{Free text. It has to be the same as in the "Title:" section above. Studies have to start by "Study on"}</w:t>
      </w:r>
    </w:p>
    <w:p w14:paraId="3761FCA3">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w:t>
      </w:r>
      <w:r>
        <w:rPr>
          <w:rFonts w:ascii="Arial" w:hAnsi="Arial" w:eastAsia="Times New Roman" w:cs="Times New Roman"/>
          <w:color w:val="auto"/>
          <w:sz w:val="36"/>
          <w:szCs w:val="20"/>
          <w:lang w:eastAsia="ja-JP"/>
        </w:rPr>
        <w:t>NF_Deployment</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LCM-OAM</w:t>
      </w:r>
    </w:p>
    <w:p w14:paraId="4520DCE2">
      <w:pPr>
        <w:pStyle w:val="7"/>
        <w:pBdr>
          <w:top w:val="single" w:color="auto" w:sz="12" w:space="3"/>
        </w:pBdr>
        <w:overflowPunct w:val="0"/>
        <w:autoSpaceDE w:val="0"/>
        <w:autoSpaceDN w:val="0"/>
        <w:adjustRightInd w:val="0"/>
        <w:spacing w:before="240" w:after="180"/>
        <w:ind w:left="0" w:firstLine="0"/>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7"/>
            </w:pPr>
            <w:r>
              <w:t>Affects:</w:t>
            </w:r>
          </w:p>
        </w:tc>
        <w:tc>
          <w:tcPr>
            <w:tcW w:w="1275" w:type="dxa"/>
            <w:tcBorders>
              <w:left w:val="nil"/>
              <w:bottom w:val="single" w:color="auto" w:sz="12" w:space="0"/>
            </w:tcBorders>
            <w:shd w:val="clear" w:color="auto" w:fill="E0E0E0"/>
          </w:tcPr>
          <w:p w14:paraId="17341A5A">
            <w:pPr>
              <w:pStyle w:val="27"/>
            </w:pPr>
            <w:r>
              <w:t>UICC apps</w:t>
            </w:r>
          </w:p>
        </w:tc>
        <w:tc>
          <w:tcPr>
            <w:tcW w:w="1037" w:type="dxa"/>
            <w:tcBorders>
              <w:bottom w:val="single" w:color="auto" w:sz="12" w:space="0"/>
            </w:tcBorders>
            <w:shd w:val="clear" w:color="auto" w:fill="E0E0E0"/>
          </w:tcPr>
          <w:p w14:paraId="44E3AEE9">
            <w:pPr>
              <w:pStyle w:val="27"/>
            </w:pPr>
            <w:r>
              <w:t>ME</w:t>
            </w:r>
          </w:p>
        </w:tc>
        <w:tc>
          <w:tcPr>
            <w:tcW w:w="850" w:type="dxa"/>
            <w:tcBorders>
              <w:bottom w:val="single" w:color="auto" w:sz="12" w:space="0"/>
            </w:tcBorders>
            <w:shd w:val="clear" w:color="auto" w:fill="E0E0E0"/>
          </w:tcPr>
          <w:p w14:paraId="6DB9EDAB">
            <w:pPr>
              <w:pStyle w:val="27"/>
            </w:pPr>
            <w:r>
              <w:t>AN</w:t>
            </w:r>
          </w:p>
        </w:tc>
        <w:tc>
          <w:tcPr>
            <w:tcW w:w="851" w:type="dxa"/>
            <w:tcBorders>
              <w:bottom w:val="single" w:color="auto" w:sz="12" w:space="0"/>
            </w:tcBorders>
            <w:shd w:val="clear" w:color="auto" w:fill="E0E0E0"/>
          </w:tcPr>
          <w:p w14:paraId="10DFAED6">
            <w:pPr>
              <w:pStyle w:val="27"/>
            </w:pPr>
            <w:r>
              <w:t>CN</w:t>
            </w:r>
          </w:p>
        </w:tc>
        <w:tc>
          <w:tcPr>
            <w:tcW w:w="1752" w:type="dxa"/>
            <w:tcBorders>
              <w:bottom w:val="single" w:color="auto" w:sz="12" w:space="0"/>
            </w:tcBorders>
            <w:shd w:val="clear" w:color="auto" w:fill="E0E0E0"/>
          </w:tcPr>
          <w:p w14:paraId="70430901">
            <w:pPr>
              <w:pStyle w:val="27"/>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7"/>
            </w:pPr>
            <w:r>
              <w:t>Yes</w:t>
            </w:r>
          </w:p>
        </w:tc>
        <w:tc>
          <w:tcPr>
            <w:tcW w:w="1275" w:type="dxa"/>
            <w:tcBorders>
              <w:top w:val="nil"/>
              <w:left w:val="nil"/>
            </w:tcBorders>
          </w:tcPr>
          <w:p w14:paraId="69C748BE">
            <w:pPr>
              <w:pStyle w:val="28"/>
            </w:pPr>
          </w:p>
        </w:tc>
        <w:tc>
          <w:tcPr>
            <w:tcW w:w="1037" w:type="dxa"/>
            <w:tcBorders>
              <w:top w:val="nil"/>
            </w:tcBorders>
          </w:tcPr>
          <w:p w14:paraId="1D3E8F18">
            <w:pPr>
              <w:pStyle w:val="28"/>
            </w:pPr>
          </w:p>
        </w:tc>
        <w:tc>
          <w:tcPr>
            <w:tcW w:w="850" w:type="dxa"/>
            <w:tcBorders>
              <w:top w:val="nil"/>
            </w:tcBorders>
          </w:tcPr>
          <w:p w14:paraId="04045F0B">
            <w:pPr>
              <w:pStyle w:val="28"/>
              <w:rPr>
                <w:rFonts w:hint="eastAsia" w:eastAsia="宋体"/>
                <w:lang w:val="en-US" w:eastAsia="zh-CN"/>
              </w:rPr>
            </w:pPr>
            <w:r>
              <w:rPr>
                <w:rFonts w:hint="eastAsia" w:eastAsia="宋体"/>
                <w:lang w:val="en-US" w:eastAsia="zh-CN"/>
              </w:rPr>
              <w:t>X</w:t>
            </w:r>
          </w:p>
        </w:tc>
        <w:tc>
          <w:tcPr>
            <w:tcW w:w="851" w:type="dxa"/>
            <w:tcBorders>
              <w:top w:val="nil"/>
            </w:tcBorders>
          </w:tcPr>
          <w:p w14:paraId="36BEDBE0">
            <w:pPr>
              <w:pStyle w:val="28"/>
              <w:rPr>
                <w:rFonts w:hint="eastAsia" w:eastAsia="宋体"/>
                <w:lang w:val="en-US" w:eastAsia="zh-CN"/>
              </w:rPr>
            </w:pPr>
            <w:r>
              <w:rPr>
                <w:rFonts w:hint="eastAsia" w:eastAsia="宋体"/>
                <w:lang w:val="en-US" w:eastAsia="zh-CN"/>
              </w:rPr>
              <w:t>X</w:t>
            </w:r>
          </w:p>
        </w:tc>
        <w:tc>
          <w:tcPr>
            <w:tcW w:w="1752" w:type="dxa"/>
            <w:tcBorders>
              <w:top w:val="nil"/>
            </w:tcBorders>
          </w:tcPr>
          <w:p w14:paraId="5305E0AA">
            <w:pPr>
              <w:pStyle w:val="28"/>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7"/>
            </w:pPr>
            <w:r>
              <w:t>No</w:t>
            </w:r>
          </w:p>
        </w:tc>
        <w:tc>
          <w:tcPr>
            <w:tcW w:w="1275" w:type="dxa"/>
            <w:tcBorders>
              <w:left w:val="nil"/>
            </w:tcBorders>
          </w:tcPr>
          <w:p w14:paraId="0B744189">
            <w:pPr>
              <w:pStyle w:val="28"/>
              <w:rPr>
                <w:rFonts w:hint="eastAsia" w:eastAsia="宋体"/>
                <w:lang w:val="en-US" w:eastAsia="zh-CN"/>
              </w:rPr>
            </w:pPr>
            <w:r>
              <w:rPr>
                <w:rFonts w:hint="eastAsia" w:eastAsia="宋体"/>
                <w:lang w:val="en-US" w:eastAsia="zh-CN"/>
              </w:rPr>
              <w:t>X</w:t>
            </w:r>
          </w:p>
        </w:tc>
        <w:tc>
          <w:tcPr>
            <w:tcW w:w="1037" w:type="dxa"/>
          </w:tcPr>
          <w:p w14:paraId="0602D5C7">
            <w:pPr>
              <w:pStyle w:val="28"/>
              <w:rPr>
                <w:rFonts w:hint="eastAsia" w:eastAsia="宋体"/>
                <w:lang w:val="en-US" w:eastAsia="zh-CN"/>
              </w:rPr>
            </w:pPr>
            <w:r>
              <w:rPr>
                <w:rFonts w:hint="eastAsia" w:eastAsia="宋体"/>
                <w:lang w:val="en-US" w:eastAsia="zh-CN"/>
              </w:rPr>
              <w:t>X</w:t>
            </w:r>
          </w:p>
        </w:tc>
        <w:tc>
          <w:tcPr>
            <w:tcW w:w="850" w:type="dxa"/>
          </w:tcPr>
          <w:p w14:paraId="35CFDED4">
            <w:pPr>
              <w:pStyle w:val="28"/>
            </w:pPr>
          </w:p>
        </w:tc>
        <w:tc>
          <w:tcPr>
            <w:tcW w:w="851" w:type="dxa"/>
          </w:tcPr>
          <w:p w14:paraId="02A432F3">
            <w:pPr>
              <w:pStyle w:val="28"/>
            </w:pPr>
          </w:p>
        </w:tc>
        <w:tc>
          <w:tcPr>
            <w:tcW w:w="1752" w:type="dxa"/>
          </w:tcPr>
          <w:p w14:paraId="70435623">
            <w:pPr>
              <w:pStyle w:val="28"/>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7"/>
            </w:pPr>
            <w:r>
              <w:t>Don't know</w:t>
            </w:r>
          </w:p>
        </w:tc>
        <w:tc>
          <w:tcPr>
            <w:tcW w:w="1275" w:type="dxa"/>
            <w:tcBorders>
              <w:left w:val="nil"/>
            </w:tcBorders>
          </w:tcPr>
          <w:p w14:paraId="4450E978">
            <w:pPr>
              <w:pStyle w:val="28"/>
            </w:pPr>
          </w:p>
        </w:tc>
        <w:tc>
          <w:tcPr>
            <w:tcW w:w="1037" w:type="dxa"/>
          </w:tcPr>
          <w:p w14:paraId="6F19776F">
            <w:pPr>
              <w:pStyle w:val="28"/>
            </w:pPr>
          </w:p>
        </w:tc>
        <w:tc>
          <w:tcPr>
            <w:tcW w:w="850" w:type="dxa"/>
          </w:tcPr>
          <w:p w14:paraId="3F07CB2B">
            <w:pPr>
              <w:pStyle w:val="28"/>
            </w:pPr>
          </w:p>
        </w:tc>
        <w:tc>
          <w:tcPr>
            <w:tcW w:w="851" w:type="dxa"/>
          </w:tcPr>
          <w:p w14:paraId="290A158D">
            <w:pPr>
              <w:pStyle w:val="28"/>
            </w:pPr>
          </w:p>
        </w:tc>
        <w:tc>
          <w:tcPr>
            <w:tcW w:w="1752" w:type="dxa"/>
          </w:tcPr>
          <w:p w14:paraId="02E98F67">
            <w:pPr>
              <w:pStyle w:val="28"/>
              <w:rPr>
                <w:rFonts w:hint="eastAsia" w:eastAsia="宋体"/>
                <w:lang w:val="en-US" w:eastAsia="zh-CN"/>
              </w:rPr>
            </w:pPr>
            <w:r>
              <w:rPr>
                <w:rFonts w:hint="eastAsia" w:eastAsia="宋体"/>
                <w:lang w:val="en-US" w:eastAsia="zh-CN"/>
              </w:rPr>
              <w:t>X</w:t>
            </w: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4"/>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8"/>
            </w:pP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rPr>
                <w:rFonts w:hint="eastAsia" w:eastAsia="宋体"/>
                <w:lang w:val="en-US" w:eastAsia="zh-CN"/>
              </w:rPr>
            </w:pPr>
            <w:r>
              <w:rPr>
                <w:rFonts w:hint="eastAsia" w:eastAsia="宋体"/>
                <w:lang w:val="en-US" w:eastAsia="zh-CN"/>
              </w:rPr>
              <w:t>X</w:t>
            </w: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rPr>
                <w:rFonts w:hint="eastAsia" w:eastAsia="宋体"/>
                <w:lang w:val="en-US" w:eastAsia="zh-CN"/>
              </w:rPr>
            </w:pPr>
            <w:r>
              <w:rPr>
                <w:rFonts w:hint="eastAsia" w:eastAsia="宋体"/>
                <w:lang w:val="en-US" w:eastAsia="zh-CN"/>
              </w:rPr>
              <w:t>X</w:t>
            </w: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pP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357D4F61">
      <w:pPr>
        <w:pStyle w:val="24"/>
      </w:pPr>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6"/>
            </w:pPr>
            <w:r>
              <w:rPr>
                <w:rFonts w:hint="eastAsia"/>
              </w:rPr>
              <w:t>FS_Cloud_OAM</w:t>
            </w:r>
          </w:p>
        </w:tc>
        <w:tc>
          <w:tcPr>
            <w:tcW w:w="1101" w:type="dxa"/>
          </w:tcPr>
          <w:p w14:paraId="334D300A">
            <w:pPr>
              <w:pStyle w:val="26"/>
            </w:pPr>
            <w:r>
              <w:rPr>
                <w:rFonts w:hint="eastAsia"/>
              </w:rPr>
              <w:t>SA5</w:t>
            </w:r>
          </w:p>
        </w:tc>
        <w:tc>
          <w:tcPr>
            <w:tcW w:w="1101" w:type="dxa"/>
          </w:tcPr>
          <w:p w14:paraId="3338BA6A">
            <w:pPr>
              <w:pStyle w:val="26"/>
            </w:pPr>
            <w:r>
              <w:rPr>
                <w:rFonts w:hint="eastAsia"/>
              </w:rPr>
              <w:t>1020010</w:t>
            </w:r>
          </w:p>
        </w:tc>
        <w:tc>
          <w:tcPr>
            <w:tcW w:w="6010" w:type="dxa"/>
          </w:tcPr>
          <w:p w14:paraId="225432A0">
            <w:pPr>
              <w:pStyle w:val="26"/>
            </w:pPr>
            <w:r>
              <w:rPr>
                <w:rFonts w:hint="eastAsia"/>
              </w:rPr>
              <w:t>Study on Cloud Aspects of Management and Orchestration</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6"/>
            </w:pPr>
          </w:p>
        </w:tc>
        <w:tc>
          <w:tcPr>
            <w:tcW w:w="3326" w:type="dxa"/>
          </w:tcPr>
          <w:p w14:paraId="3AC061FD">
            <w:pPr>
              <w:pStyle w:val="26"/>
            </w:pPr>
          </w:p>
        </w:tc>
        <w:tc>
          <w:tcPr>
            <w:tcW w:w="5099" w:type="dxa"/>
          </w:tcPr>
          <w:p w14:paraId="017BF4B1">
            <w:pPr>
              <w:pStyle w:val="24"/>
            </w:pPr>
          </w:p>
        </w:tc>
      </w:tr>
    </w:tbl>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7F6A1B8">
      <w:pPr>
        <w:numPr>
          <w:ilvl w:val="255"/>
          <w:numId w:val="0"/>
        </w:numPr>
      </w:pPr>
      <w:r>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p w14:paraId="3EC1DB98">
      <w:r>
        <w:t xml:space="preserve">SA5 has conducted a study on </w:t>
      </w:r>
      <w:r>
        <w:rPr>
          <w:rFonts w:eastAsia="Batang"/>
          <w:lang w:eastAsia="zh-CN"/>
        </w:rPr>
        <w:t>LCM of NF Deployment in Rel-19. The following aspects have been studied and described in TR 28.869 in clauses 4.2 and 5.2:</w:t>
      </w:r>
    </w:p>
    <w:p w14:paraId="3808E14D"/>
    <w:p w14:paraId="52B32D48">
      <w:pPr>
        <w:numPr>
          <w:ilvl w:val="0"/>
          <w:numId w:val="1"/>
        </w:numPr>
        <w:spacing w:after="180"/>
      </w:pPr>
      <w:r>
        <w:t>New concept and terminology of NF Deployment.</w:t>
      </w:r>
    </w:p>
    <w:p w14:paraId="322E2223">
      <w:pPr>
        <w:numPr>
          <w:ilvl w:val="0"/>
          <w:numId w:val="1"/>
        </w:numPr>
        <w:spacing w:after="180"/>
      </w:pPr>
      <w:r>
        <w:t xml:space="preserve">3GPP management architecture to support LCM of NF Deployment using various industry solutions. </w:t>
      </w:r>
    </w:p>
    <w:p w14:paraId="55208278">
      <w:pPr>
        <w:numPr>
          <w:ilvl w:val="0"/>
          <w:numId w:val="1"/>
        </w:numPr>
        <w:spacing w:after="180"/>
      </w:pPr>
      <w:r>
        <w:rPr>
          <w:rFonts w:eastAsia="Batang"/>
          <w:lang w:eastAsia="zh-CN"/>
        </w:rPr>
        <w:t xml:space="preserve">LCM of NF Deployment use cases, requirement, and solutions. </w:t>
      </w:r>
    </w:p>
    <w:p w14:paraId="797D4574">
      <w:r>
        <w:t>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1D3FC064">
      <w:pPr>
        <w:numPr>
          <w:ilvl w:val="255"/>
          <w:numId w:val="0"/>
        </w:numPr>
        <w:rPr>
          <w:lang w:val="en-US"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宋体"/>
          <w:iCs/>
          <w:lang w:val="en-US" w:eastAsia="zh-CN"/>
        </w:rPr>
        <w:t>3GPP management system</w:t>
      </w:r>
      <w:r>
        <w:rPr>
          <w:lang w:val="en-US" w:eastAsia="zh-CN"/>
        </w:rPr>
        <w:t>:</w:t>
      </w:r>
    </w:p>
    <w:p w14:paraId="2294BEBC">
      <w:pPr>
        <w:numPr>
          <w:ilvl w:val="255"/>
          <w:numId w:val="0"/>
        </w:numPr>
        <w:rPr>
          <w:lang w:val="en-US" w:eastAsia="zh-CN"/>
        </w:rPr>
      </w:pPr>
    </w:p>
    <w:p w14:paraId="294BE49B">
      <w:pPr>
        <w:numPr>
          <w:ilvl w:val="255"/>
          <w:numId w:val="0"/>
        </w:numPr>
        <w:rPr>
          <w:rFonts w:hint="eastAsia" w:eastAsia="宋体"/>
          <w:highlight w:val="none"/>
          <w:lang w:val="en-US" w:eastAsia="zh-CN"/>
        </w:rPr>
      </w:pPr>
      <w:r>
        <w:rPr>
          <w:rFonts w:hint="eastAsia" w:eastAsia="宋体"/>
          <w:b/>
          <w:bCs/>
          <w:highlight w:val="none"/>
          <w:lang w:val="en-US" w:eastAsia="zh-CN"/>
        </w:rPr>
        <w:t>WT-1</w:t>
      </w:r>
      <w:r>
        <w:rPr>
          <w:rFonts w:hint="eastAsia" w:eastAsia="宋体"/>
          <w:highlight w:val="none"/>
          <w:lang w:val="en-US" w:eastAsia="zh-CN"/>
        </w:rPr>
        <w:t xml:space="preserve">: Specify the </w:t>
      </w:r>
      <w:r>
        <w:t>concept and terminology of NF Deployment as described in clause 4.2.1 of TR 28.869</w:t>
      </w:r>
      <w:r>
        <w:rPr>
          <w:rFonts w:hint="eastAsia" w:eastAsia="宋体"/>
          <w:lang w:val="en-US" w:eastAsia="zh-CN"/>
        </w:rPr>
        <w:t>, and a</w:t>
      </w:r>
      <w:r>
        <w:t xml:space="preserve">dd clarification between NF Deployment </w:t>
      </w:r>
      <w:r>
        <w:rPr>
          <w:rFonts w:hint="eastAsia" w:eastAsia="宋体"/>
          <w:lang w:val="en-US" w:eastAsia="zh-CN"/>
        </w:rPr>
        <w:t>and</w:t>
      </w:r>
      <w:r>
        <w:t xml:space="preserve"> VNF</w:t>
      </w:r>
      <w:r>
        <w:rPr>
          <w:rFonts w:hint="eastAsia" w:eastAsia="宋体"/>
          <w:lang w:val="en-US" w:eastAsia="zh-CN"/>
        </w:rPr>
        <w:t>.</w:t>
      </w:r>
      <w:bookmarkStart w:id="1" w:name="_GoBack"/>
      <w:bookmarkEnd w:id="1"/>
    </w:p>
    <w:p w14:paraId="7B43BC53">
      <w:pPr>
        <w:numPr>
          <w:ilvl w:val="255"/>
          <w:numId w:val="0"/>
        </w:numPr>
        <w:rPr>
          <w:rFonts w:eastAsia="宋体"/>
          <w:b/>
          <w:bCs/>
          <w:highlight w:val="none"/>
          <w:lang w:val="en-US" w:eastAsia="zh-CN"/>
        </w:rPr>
      </w:pPr>
    </w:p>
    <w:p w14:paraId="4D962B04">
      <w:pPr>
        <w:numPr>
          <w:ilvl w:val="255"/>
          <w:numId w:val="0"/>
        </w:numPr>
        <w:rPr>
          <w:highlight w:val="none"/>
        </w:rPr>
      </w:pPr>
      <w:r>
        <w:rPr>
          <w:rFonts w:hint="eastAsia" w:eastAsia="宋体"/>
          <w:b/>
          <w:bCs/>
          <w:highlight w:val="none"/>
          <w:lang w:val="en-US" w:eastAsia="zh-CN"/>
        </w:rPr>
        <w:t>WT-2</w:t>
      </w:r>
      <w:r>
        <w:rPr>
          <w:rFonts w:hint="eastAsia" w:eastAsia="宋体"/>
          <w:highlight w:val="none"/>
          <w:lang w:val="en-US" w:eastAsia="zh-CN"/>
        </w:rPr>
        <w:t xml:space="preserve">: </w:t>
      </w:r>
      <w:r>
        <w:rPr>
          <w:highlight w:val="none"/>
        </w:rPr>
        <w:t xml:space="preserve">Specify </w:t>
      </w:r>
      <w:r>
        <w:rPr>
          <w:rFonts w:eastAsia="Times New Roman"/>
          <w:highlight w:val="none"/>
        </w:rPr>
        <w:t xml:space="preserve">3GPP management architecture to support LCM of NF Deployment including </w:t>
      </w:r>
      <w:r>
        <w:rPr>
          <w:highlight w:val="none"/>
        </w:rPr>
        <w:t>the requirement for deployment management reference point as described in clause 5.2.1</w:t>
      </w:r>
      <w:r>
        <w:rPr>
          <w:rFonts w:hint="eastAsia" w:eastAsia="宋体"/>
          <w:highlight w:val="none"/>
          <w:lang w:val="en-US" w:eastAsia="zh-CN"/>
        </w:rPr>
        <w:t xml:space="preserve"> of </w:t>
      </w:r>
      <w:r>
        <w:rPr>
          <w:highlight w:val="none"/>
        </w:rPr>
        <w:t>TR 28.869.</w:t>
      </w:r>
    </w:p>
    <w:p w14:paraId="0280F618">
      <w:pPr>
        <w:numPr>
          <w:ilvl w:val="255"/>
          <w:numId w:val="0"/>
        </w:numPr>
        <w:rPr>
          <w:highlight w:val="none"/>
        </w:rPr>
      </w:pPr>
    </w:p>
    <w:p w14:paraId="48D561F8">
      <w:pPr>
        <w:numPr>
          <w:ilvl w:val="255"/>
          <w:numId w:val="0"/>
        </w:numPr>
        <w:rPr>
          <w:rFonts w:hint="default" w:eastAsia="宋体"/>
          <w:b/>
          <w:bCs/>
          <w:highlight w:val="none"/>
          <w:lang w:val="en-US" w:eastAsia="zh-CN"/>
        </w:rPr>
      </w:pPr>
      <w:r>
        <w:rPr>
          <w:rFonts w:hint="eastAsia" w:eastAsia="宋体"/>
          <w:b/>
          <w:bCs/>
          <w:highlight w:val="none"/>
          <w:lang w:val="en-US" w:eastAsia="zh-CN"/>
        </w:rPr>
        <w:t>WT-3</w:t>
      </w:r>
      <w:r>
        <w:rPr>
          <w:rFonts w:hint="eastAsia" w:eastAsia="宋体"/>
          <w:b w:val="0"/>
          <w:bCs w:val="0"/>
          <w:highlight w:val="none"/>
          <w:lang w:val="en-US" w:eastAsia="zh-CN"/>
        </w:rPr>
        <w:t xml:space="preserve">: </w:t>
      </w:r>
      <w:r>
        <w:rPr>
          <w:highlight w:val="none"/>
        </w:rPr>
        <w:t>Specify the</w:t>
      </w:r>
      <w:r>
        <w:rPr>
          <w:rFonts w:hint="eastAsia" w:eastAsia="宋体"/>
          <w:highlight w:val="none"/>
          <w:lang w:val="en-US" w:eastAsia="zh-CN"/>
        </w:rPr>
        <w:t xml:space="preserve"> </w:t>
      </w:r>
      <w:r>
        <w:rPr>
          <w:highlight w:val="none"/>
        </w:rPr>
        <w:t>use cases</w:t>
      </w:r>
      <w:r>
        <w:rPr>
          <w:rFonts w:hint="eastAsia" w:eastAsia="宋体"/>
          <w:highlight w:val="none"/>
          <w:lang w:val="en-US" w:eastAsia="zh-CN"/>
        </w:rPr>
        <w:t xml:space="preserve"> and </w:t>
      </w:r>
      <w:r>
        <w:rPr>
          <w:highlight w:val="none"/>
        </w:rPr>
        <w:t>requirements for 3GPP management system to support LCM of NF Deployment as described in clauses 5.2.3, 5.2.4 and 5.2.5</w:t>
      </w:r>
      <w:r>
        <w:rPr>
          <w:rFonts w:hint="eastAsia" w:eastAsia="宋体"/>
          <w:highlight w:val="none"/>
          <w:lang w:val="en-US" w:eastAsia="zh-CN"/>
        </w:rPr>
        <w:t xml:space="preserve"> of TR 28.869.</w:t>
      </w:r>
    </w:p>
    <w:p w14:paraId="1911AB7C">
      <w:pPr>
        <w:numPr>
          <w:ilvl w:val="255"/>
          <w:numId w:val="0"/>
        </w:numPr>
        <w:rPr>
          <w:rFonts w:hint="eastAsia" w:eastAsia="宋体"/>
          <w:highlight w:val="none"/>
          <w:lang w:val="en-US" w:eastAsia="zh-CN"/>
        </w:rPr>
      </w:pPr>
    </w:p>
    <w:p w14:paraId="1F0348F6">
      <w:pPr>
        <w:pStyle w:val="8"/>
        <w:rPr>
          <w:rFonts w:ascii="Times New Roman" w:hAnsi="Times New Roman"/>
          <w:highlight w:val="none"/>
        </w:rPr>
      </w:pPr>
      <w:r>
        <w:rPr>
          <w:rFonts w:hint="eastAsia" w:ascii="Times New Roman" w:hAnsi="Times New Roman" w:eastAsia="宋体"/>
          <w:b/>
          <w:bCs/>
          <w:highlight w:val="none"/>
          <w:lang w:val="en-US" w:eastAsia="zh-CN"/>
        </w:rPr>
        <w:t>WT-4</w:t>
      </w:r>
      <w:r>
        <w:rPr>
          <w:rFonts w:hint="eastAsia" w:ascii="Times New Roman" w:hAnsi="Times New Roman" w:eastAsia="宋体"/>
          <w:b w:val="0"/>
          <w:bCs w:val="0"/>
          <w:highlight w:val="none"/>
          <w:lang w:val="en-US" w:eastAsia="zh-CN"/>
        </w:rPr>
        <w:t>:</w:t>
      </w:r>
      <w:r>
        <w:rPr>
          <w:rFonts w:hint="eastAsia" w:ascii="Times New Roman" w:hAnsi="Times New Roman" w:eastAsia="宋体"/>
          <w:b/>
          <w:bCs/>
          <w:highlight w:val="none"/>
          <w:lang w:val="en-US" w:eastAsia="zh-CN"/>
        </w:rPr>
        <w:t xml:space="preserve"> </w:t>
      </w:r>
      <w:r>
        <w:rPr>
          <w:rFonts w:ascii="Times New Roman" w:hAnsi="Times New Roman"/>
          <w:highlight w:val="none"/>
        </w:rPr>
        <w:t>Enhance the LCM of NF procedures in TS 28.531 clause 7.10, 7.11 and 7.12 to support both ETSI</w:t>
      </w:r>
      <w:r>
        <w:rPr>
          <w:rFonts w:hint="eastAsia" w:ascii="Times New Roman" w:hAnsi="Times New Roman" w:eastAsia="宋体"/>
          <w:highlight w:val="none"/>
          <w:lang w:val="en-US" w:eastAsia="zh-CN"/>
        </w:rPr>
        <w:t xml:space="preserve"> </w:t>
      </w:r>
      <w:r>
        <w:rPr>
          <w:rFonts w:ascii="Times New Roman" w:hAnsi="Times New Roman"/>
          <w:highlight w:val="none"/>
        </w:rPr>
        <w:t>NFV</w:t>
      </w:r>
      <w:r>
        <w:rPr>
          <w:rFonts w:hint="eastAsia" w:ascii="Times New Roman" w:hAnsi="Times New Roman" w:eastAsia="宋体"/>
          <w:highlight w:val="none"/>
          <w:lang w:val="en-US" w:eastAsia="zh-CN"/>
        </w:rPr>
        <w:t xml:space="preserve"> </w:t>
      </w:r>
      <w:r>
        <w:rPr>
          <w:rFonts w:ascii="Times New Roman" w:hAnsi="Times New Roman"/>
          <w:highlight w:val="none"/>
          <w:lang w:val="el-GR"/>
        </w:rPr>
        <w:t>ΜΑΝΟ</w:t>
      </w:r>
      <w:r>
        <w:rPr>
          <w:rFonts w:ascii="Times New Roman" w:hAnsi="Times New Roman"/>
          <w:highlight w:val="none"/>
        </w:rPr>
        <w:t xml:space="preserve"> and Non-ETSI NFV</w:t>
      </w:r>
      <w:r>
        <w:rPr>
          <w:rFonts w:hint="eastAsia" w:ascii="Times New Roman" w:hAnsi="Times New Roman" w:eastAsia="宋体"/>
          <w:highlight w:val="none"/>
          <w:lang w:val="en-US" w:eastAsia="zh-CN"/>
        </w:rPr>
        <w:t xml:space="preserve"> </w:t>
      </w:r>
      <w:r>
        <w:rPr>
          <w:rFonts w:ascii="Times New Roman" w:hAnsi="Times New Roman"/>
          <w:highlight w:val="none"/>
        </w:rPr>
        <w:t>MANO for LCM of NF Deployment, including procedures that decouple the LCM of NF Deployment from LCM of NF.</w:t>
      </w:r>
    </w:p>
    <w:p w14:paraId="4AF0C8DC">
      <w:pPr>
        <w:pStyle w:val="3"/>
      </w:pPr>
      <w:r>
        <w:t>TU estimates and dependencies</w:t>
      </w:r>
    </w:p>
    <w:p w14:paraId="4AF0C8DE"/>
    <w:tbl>
      <w:tblPr>
        <w:tblStyle w:val="14"/>
        <w:tblW w:w="850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59"/>
        <w:gridCol w:w="1559"/>
        <w:gridCol w:w="1843"/>
        <w:gridCol w:w="1842"/>
      </w:tblGrid>
      <w:tr w14:paraId="4AF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tcPr>
          <w:p w14:paraId="4AF0C8DF">
            <w:pPr>
              <w:rPr>
                <w:b/>
                <w:bCs/>
              </w:rPr>
            </w:pPr>
            <w:r>
              <w:rPr>
                <w:b/>
                <w:bCs/>
              </w:rPr>
              <w:t>Work Task ID</w:t>
            </w:r>
          </w:p>
        </w:tc>
        <w:tc>
          <w:tcPr>
            <w:tcW w:w="1559" w:type="dxa"/>
          </w:tcPr>
          <w:p w14:paraId="4AF0C8E0">
            <w:pPr>
              <w:rPr>
                <w:b/>
                <w:bCs/>
              </w:rPr>
            </w:pPr>
            <w:r>
              <w:rPr>
                <w:b/>
                <w:bCs/>
              </w:rPr>
              <w:t>TU Estimate</w:t>
            </w:r>
          </w:p>
          <w:p w14:paraId="4AF0C8E1">
            <w:pPr>
              <w:rPr>
                <w:b/>
                <w:bCs/>
              </w:rPr>
            </w:pPr>
            <w:r>
              <w:rPr>
                <w:b/>
                <w:bCs/>
              </w:rPr>
              <w:t>(Study)</w:t>
            </w:r>
          </w:p>
        </w:tc>
        <w:tc>
          <w:tcPr>
            <w:tcW w:w="1559" w:type="dxa"/>
          </w:tcPr>
          <w:p w14:paraId="4AF0C8E2">
            <w:pPr>
              <w:rPr>
                <w:b/>
                <w:bCs/>
              </w:rPr>
            </w:pPr>
            <w:r>
              <w:rPr>
                <w:b/>
                <w:bCs/>
              </w:rPr>
              <w:t>TU Estimate</w:t>
            </w:r>
          </w:p>
          <w:p w14:paraId="4AF0C8E3">
            <w:pPr>
              <w:rPr>
                <w:b/>
                <w:bCs/>
              </w:rPr>
            </w:pPr>
            <w:r>
              <w:rPr>
                <w:b/>
                <w:bCs/>
              </w:rPr>
              <w:t>(Normative)</w:t>
            </w:r>
          </w:p>
        </w:tc>
        <w:tc>
          <w:tcPr>
            <w:tcW w:w="1843" w:type="dxa"/>
          </w:tcPr>
          <w:p w14:paraId="4AF0C8E4">
            <w:pPr>
              <w:rPr>
                <w:b/>
                <w:bCs/>
              </w:rPr>
            </w:pPr>
            <w:r>
              <w:rPr>
                <w:b/>
                <w:bCs/>
              </w:rPr>
              <w:t>RAN Dependency</w:t>
            </w:r>
          </w:p>
          <w:p w14:paraId="4AF0C8E5">
            <w:pPr>
              <w:rPr>
                <w:b/>
                <w:bCs/>
              </w:rPr>
            </w:pPr>
            <w:r>
              <w:rPr>
                <w:b/>
                <w:bCs/>
              </w:rPr>
              <w:t xml:space="preserve">(Yes/No/Maybe) </w:t>
            </w:r>
          </w:p>
        </w:tc>
        <w:tc>
          <w:tcPr>
            <w:tcW w:w="1842" w:type="dxa"/>
          </w:tcPr>
          <w:p w14:paraId="4AF0C8E6">
            <w:pPr>
              <w:rPr>
                <w:b/>
                <w:bCs/>
              </w:rPr>
            </w:pPr>
            <w:r>
              <w:rPr>
                <w:b/>
                <w:bCs/>
              </w:rPr>
              <w:t>SA Dependency</w:t>
            </w:r>
          </w:p>
          <w:p w14:paraId="4AF0C8E7">
            <w:pPr>
              <w:rPr>
                <w:b/>
                <w:bCs/>
              </w:rPr>
            </w:pPr>
            <w:r>
              <w:rPr>
                <w:b/>
                <w:bCs/>
              </w:rPr>
              <w:t>(Yes/No/Maybe)</w:t>
            </w:r>
          </w:p>
        </w:tc>
      </w:tr>
      <w:tr w14:paraId="4AF0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E9">
            <w:pPr>
              <w:rPr>
                <w:rFonts w:eastAsia="宋体"/>
                <w:lang w:val="en-US" w:eastAsia="zh-CN"/>
              </w:rPr>
            </w:pPr>
            <w:r>
              <w:rPr>
                <w:rFonts w:hint="eastAsia" w:eastAsia="宋体"/>
                <w:lang w:val="en-US" w:eastAsia="zh-CN"/>
              </w:rPr>
              <w:t>WT-1</w:t>
            </w:r>
          </w:p>
        </w:tc>
        <w:tc>
          <w:tcPr>
            <w:tcW w:w="1559" w:type="dxa"/>
          </w:tcPr>
          <w:p w14:paraId="4AF0C8EA">
            <w:pPr>
              <w:rPr>
                <w:rFonts w:eastAsia="宋体"/>
                <w:lang w:val="en-US" w:eastAsia="zh-CN"/>
              </w:rPr>
            </w:pPr>
            <w:r>
              <w:rPr>
                <w:rFonts w:hint="eastAsia" w:eastAsia="宋体"/>
                <w:lang w:val="en-US" w:eastAsia="zh-CN"/>
              </w:rPr>
              <w:t>0</w:t>
            </w:r>
          </w:p>
        </w:tc>
        <w:tc>
          <w:tcPr>
            <w:tcW w:w="1559" w:type="dxa"/>
          </w:tcPr>
          <w:p w14:paraId="4AF0C8EB">
            <w:pPr>
              <w:rPr>
                <w:rFonts w:eastAsia="宋体"/>
                <w:lang w:val="en-US" w:eastAsia="zh-CN"/>
              </w:rPr>
            </w:pPr>
            <w:r>
              <w:rPr>
                <w:rFonts w:hint="eastAsia" w:eastAsia="宋体"/>
                <w:lang w:val="en-US" w:eastAsia="zh-CN"/>
              </w:rPr>
              <w:t>0.5</w:t>
            </w:r>
          </w:p>
        </w:tc>
        <w:tc>
          <w:tcPr>
            <w:tcW w:w="1843" w:type="dxa"/>
          </w:tcPr>
          <w:p w14:paraId="4AF0C8EC">
            <w:pPr>
              <w:rPr>
                <w:rFonts w:eastAsia="宋体"/>
                <w:lang w:val="en-US" w:eastAsia="zh-CN"/>
              </w:rPr>
            </w:pPr>
            <w:r>
              <w:rPr>
                <w:b w:val="0"/>
                <w:bCs w:val="0"/>
              </w:rPr>
              <w:t>No</w:t>
            </w:r>
          </w:p>
        </w:tc>
        <w:tc>
          <w:tcPr>
            <w:tcW w:w="1842" w:type="dxa"/>
          </w:tcPr>
          <w:p w14:paraId="4AF0C8ED">
            <w:pPr>
              <w:rPr>
                <w:rFonts w:eastAsia="宋体"/>
                <w:lang w:val="en-US" w:eastAsia="zh-CN"/>
              </w:rPr>
            </w:pPr>
            <w:r>
              <w:rPr>
                <w:b w:val="0"/>
                <w:bCs w:val="0"/>
              </w:rPr>
              <w:t>No</w:t>
            </w:r>
          </w:p>
        </w:tc>
      </w:tr>
      <w:tr w14:paraId="4AF0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EF">
            <w:pPr>
              <w:rPr>
                <w:rFonts w:eastAsia="宋体"/>
                <w:lang w:val="en-US" w:eastAsia="zh-CN"/>
              </w:rPr>
            </w:pPr>
            <w:r>
              <w:rPr>
                <w:rFonts w:hint="eastAsia" w:eastAsia="宋体"/>
                <w:lang w:val="en-US" w:eastAsia="zh-CN"/>
              </w:rPr>
              <w:t>WT-2</w:t>
            </w:r>
          </w:p>
        </w:tc>
        <w:tc>
          <w:tcPr>
            <w:tcW w:w="1559" w:type="dxa"/>
          </w:tcPr>
          <w:p w14:paraId="4AF0C8F0">
            <w:pPr>
              <w:rPr>
                <w:rFonts w:eastAsia="宋体"/>
                <w:lang w:val="en-US" w:eastAsia="zh-CN"/>
              </w:rPr>
            </w:pPr>
            <w:r>
              <w:rPr>
                <w:rFonts w:hint="eastAsia" w:eastAsia="宋体"/>
                <w:lang w:val="en-US" w:eastAsia="zh-CN"/>
              </w:rPr>
              <w:t>0</w:t>
            </w:r>
          </w:p>
        </w:tc>
        <w:tc>
          <w:tcPr>
            <w:tcW w:w="1559" w:type="dxa"/>
          </w:tcPr>
          <w:p w14:paraId="4AF0C8F1">
            <w:pPr>
              <w:rPr>
                <w:rFonts w:hint="default" w:eastAsia="宋体"/>
                <w:lang w:val="en-US" w:eastAsia="zh-CN"/>
              </w:rPr>
            </w:pPr>
            <w:r>
              <w:rPr>
                <w:rFonts w:hint="eastAsia" w:eastAsia="宋体"/>
                <w:lang w:val="en-US" w:eastAsia="zh-CN"/>
              </w:rPr>
              <w:t>0.5</w:t>
            </w:r>
          </w:p>
        </w:tc>
        <w:tc>
          <w:tcPr>
            <w:tcW w:w="1843" w:type="dxa"/>
          </w:tcPr>
          <w:p w14:paraId="4AF0C8F2">
            <w:pPr>
              <w:rPr>
                <w:rFonts w:eastAsia="宋体"/>
                <w:lang w:val="en-US" w:eastAsia="zh-CN"/>
              </w:rPr>
            </w:pPr>
            <w:r>
              <w:rPr>
                <w:b w:val="0"/>
                <w:bCs w:val="0"/>
              </w:rPr>
              <w:t>No</w:t>
            </w:r>
          </w:p>
        </w:tc>
        <w:tc>
          <w:tcPr>
            <w:tcW w:w="1842" w:type="dxa"/>
          </w:tcPr>
          <w:p w14:paraId="4AF0C8F3">
            <w:pPr>
              <w:rPr>
                <w:rFonts w:eastAsia="宋体"/>
                <w:lang w:val="en-US" w:eastAsia="zh-CN"/>
              </w:rPr>
            </w:pPr>
            <w:r>
              <w:rPr>
                <w:b w:val="0"/>
                <w:bCs w:val="0"/>
              </w:rPr>
              <w:t>No</w:t>
            </w:r>
          </w:p>
        </w:tc>
      </w:tr>
      <w:tr w14:paraId="4AF0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F5">
            <w:pPr>
              <w:rPr>
                <w:rFonts w:eastAsia="宋体"/>
                <w:lang w:val="en-US" w:eastAsia="zh-CN"/>
              </w:rPr>
            </w:pPr>
            <w:r>
              <w:rPr>
                <w:rFonts w:hint="eastAsia" w:eastAsia="宋体"/>
                <w:lang w:val="en-US" w:eastAsia="zh-CN"/>
              </w:rPr>
              <w:t>WT-3</w:t>
            </w:r>
          </w:p>
        </w:tc>
        <w:tc>
          <w:tcPr>
            <w:tcW w:w="1559" w:type="dxa"/>
          </w:tcPr>
          <w:p w14:paraId="4AF0C8F6">
            <w:pPr>
              <w:rPr>
                <w:rFonts w:eastAsia="宋体"/>
                <w:lang w:val="en-US" w:eastAsia="zh-CN"/>
              </w:rPr>
            </w:pPr>
            <w:r>
              <w:rPr>
                <w:rFonts w:hint="eastAsia" w:eastAsia="宋体"/>
                <w:lang w:val="en-US" w:eastAsia="zh-CN"/>
              </w:rPr>
              <w:t>0</w:t>
            </w:r>
          </w:p>
        </w:tc>
        <w:tc>
          <w:tcPr>
            <w:tcW w:w="1559" w:type="dxa"/>
          </w:tcPr>
          <w:p w14:paraId="4AF0C8F7">
            <w:pPr>
              <w:rPr>
                <w:rFonts w:hint="default" w:eastAsia="宋体"/>
                <w:lang w:val="en-US" w:eastAsia="zh-CN"/>
              </w:rPr>
            </w:pPr>
            <w:r>
              <w:rPr>
                <w:rFonts w:hint="eastAsia" w:eastAsia="宋体"/>
                <w:lang w:val="en-US" w:eastAsia="zh-CN"/>
              </w:rPr>
              <w:t>1.5</w:t>
            </w:r>
          </w:p>
        </w:tc>
        <w:tc>
          <w:tcPr>
            <w:tcW w:w="1843" w:type="dxa"/>
          </w:tcPr>
          <w:p w14:paraId="4AF0C8F8">
            <w:pPr>
              <w:rPr>
                <w:rFonts w:eastAsia="宋体"/>
                <w:lang w:val="en-US" w:eastAsia="zh-CN"/>
              </w:rPr>
            </w:pPr>
            <w:r>
              <w:rPr>
                <w:b w:val="0"/>
                <w:bCs w:val="0"/>
              </w:rPr>
              <w:t>No</w:t>
            </w:r>
          </w:p>
        </w:tc>
        <w:tc>
          <w:tcPr>
            <w:tcW w:w="1842" w:type="dxa"/>
          </w:tcPr>
          <w:p w14:paraId="4AF0C8F9">
            <w:pPr>
              <w:rPr>
                <w:rFonts w:eastAsia="宋体"/>
                <w:lang w:val="en-US" w:eastAsia="zh-CN"/>
              </w:rPr>
            </w:pPr>
            <w:r>
              <w:rPr>
                <w:b w:val="0"/>
                <w:bCs w:val="0"/>
              </w:rPr>
              <w:t>No</w:t>
            </w:r>
          </w:p>
        </w:tc>
      </w:tr>
      <w:tr w14:paraId="4AF0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FB">
            <w:pPr>
              <w:rPr>
                <w:rFonts w:eastAsia="宋体"/>
                <w:lang w:val="en-US" w:eastAsia="zh-CN"/>
              </w:rPr>
            </w:pPr>
            <w:r>
              <w:rPr>
                <w:rFonts w:hint="eastAsia" w:eastAsia="宋体"/>
                <w:lang w:val="en-US" w:eastAsia="zh-CN"/>
              </w:rPr>
              <w:t>WT-4</w:t>
            </w:r>
          </w:p>
        </w:tc>
        <w:tc>
          <w:tcPr>
            <w:tcW w:w="1559" w:type="dxa"/>
          </w:tcPr>
          <w:p w14:paraId="4AF0C8FC">
            <w:pPr>
              <w:rPr>
                <w:rFonts w:eastAsia="宋体"/>
                <w:lang w:val="en-US" w:eastAsia="zh-CN"/>
              </w:rPr>
            </w:pPr>
            <w:r>
              <w:rPr>
                <w:rFonts w:hint="eastAsia" w:eastAsia="宋体"/>
                <w:lang w:val="en-US" w:eastAsia="zh-CN"/>
              </w:rPr>
              <w:t>0</w:t>
            </w:r>
          </w:p>
        </w:tc>
        <w:tc>
          <w:tcPr>
            <w:tcW w:w="1559" w:type="dxa"/>
          </w:tcPr>
          <w:p w14:paraId="4AF0C8FD">
            <w:pPr>
              <w:rPr>
                <w:rFonts w:hint="default" w:eastAsia="宋体"/>
                <w:lang w:val="en-US" w:eastAsia="zh-CN"/>
              </w:rPr>
            </w:pPr>
            <w:r>
              <w:rPr>
                <w:rFonts w:hint="eastAsia" w:eastAsia="宋体"/>
                <w:lang w:val="en-US" w:eastAsia="zh-CN"/>
              </w:rPr>
              <w:t>1.5</w:t>
            </w:r>
          </w:p>
        </w:tc>
        <w:tc>
          <w:tcPr>
            <w:tcW w:w="1843" w:type="dxa"/>
          </w:tcPr>
          <w:p w14:paraId="4AF0C8FE">
            <w:pPr>
              <w:rPr>
                <w:rFonts w:eastAsia="宋体"/>
                <w:lang w:val="en-US" w:eastAsia="zh-CN"/>
              </w:rPr>
            </w:pPr>
            <w:r>
              <w:rPr>
                <w:b w:val="0"/>
                <w:bCs w:val="0"/>
              </w:rPr>
              <w:t>No</w:t>
            </w:r>
          </w:p>
        </w:tc>
        <w:tc>
          <w:tcPr>
            <w:tcW w:w="1842" w:type="dxa"/>
          </w:tcPr>
          <w:p w14:paraId="4AF0C8FF">
            <w:pPr>
              <w:rPr>
                <w:rFonts w:eastAsia="宋体"/>
                <w:lang w:val="en-US" w:eastAsia="zh-CN"/>
              </w:rPr>
            </w:pPr>
            <w:r>
              <w:rPr>
                <w:b w:val="0"/>
                <w:bCs w:val="0"/>
              </w:rPr>
              <w:t>No</w:t>
            </w:r>
          </w:p>
        </w:tc>
      </w:tr>
    </w:tbl>
    <w:p w14:paraId="0219B7F3">
      <w:pPr>
        <w:rPr>
          <w:b/>
          <w:bCs/>
        </w:rPr>
      </w:pPr>
    </w:p>
    <w:p w14:paraId="4DCF8E87">
      <w:pPr>
        <w:rPr>
          <w:b/>
          <w:bCs/>
        </w:rPr>
      </w:pPr>
      <w:r>
        <w:rPr>
          <w:b/>
          <w:bCs/>
        </w:rPr>
        <w:t xml:space="preserve">Total TU estimates for the study phase: </w:t>
      </w:r>
      <w:r>
        <w:rPr>
          <w:rFonts w:hint="eastAsia" w:eastAsia="宋体"/>
          <w:b/>
          <w:bCs/>
          <w:lang w:val="en-US" w:eastAsia="zh-CN"/>
        </w:rPr>
        <w:t>0</w:t>
      </w:r>
    </w:p>
    <w:p w14:paraId="20D8C2BC">
      <w:pPr>
        <w:rPr>
          <w:b/>
          <w:bCs/>
        </w:rPr>
      </w:pPr>
      <w:r>
        <w:rPr>
          <w:b/>
          <w:bCs/>
        </w:rPr>
        <w:t xml:space="preserve">Total TU estimates for the normative phase: </w:t>
      </w:r>
      <w:r>
        <w:rPr>
          <w:rFonts w:hint="eastAsia" w:eastAsia="宋体"/>
          <w:b/>
          <w:bCs/>
          <w:lang w:val="en-US" w:eastAsia="zh-CN"/>
        </w:rPr>
        <w:t>4</w:t>
      </w:r>
    </w:p>
    <w:p w14:paraId="10D16A04">
      <w:pPr>
        <w:rPr>
          <w:rFonts w:hint="eastAsia" w:eastAsia="宋体"/>
          <w:b/>
          <w:bCs/>
          <w:lang w:val="en-US" w:eastAsia="zh-CN"/>
        </w:rPr>
      </w:pPr>
      <w:r>
        <w:rPr>
          <w:b/>
          <w:bCs/>
        </w:rPr>
        <w:t xml:space="preserve">Total TU estimates: </w:t>
      </w:r>
      <w:r>
        <w:rPr>
          <w:rFonts w:hint="eastAsia" w:eastAsia="宋体"/>
          <w:b/>
          <w:bCs/>
          <w:lang w:val="en-US" w:eastAsia="zh-CN"/>
        </w:rPr>
        <w:t>4</w:t>
      </w:r>
    </w:p>
    <w:p w14:paraId="76000ACD">
      <w:pPr>
        <w:pStyle w:val="8"/>
        <w:rPr>
          <w:rFonts w:ascii="Times New Roman" w:hAnsi="Times New Roman"/>
          <w:highlight w:val="none"/>
        </w:rPr>
      </w:pP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993"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7"/>
            </w:pPr>
            <w:r>
              <w:t>For approval at TSG#</w:t>
            </w:r>
          </w:p>
        </w:tc>
        <w:tc>
          <w:tcPr>
            <w:tcW w:w="2186"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4"/>
              <w:spacing w:after="0"/>
            </w:pPr>
          </w:p>
        </w:tc>
        <w:tc>
          <w:tcPr>
            <w:tcW w:w="1134" w:type="dxa"/>
          </w:tcPr>
          <w:p w14:paraId="1581EDBA">
            <w:pPr>
              <w:pStyle w:val="24"/>
              <w:spacing w:after="0"/>
            </w:pPr>
          </w:p>
        </w:tc>
        <w:tc>
          <w:tcPr>
            <w:tcW w:w="2409" w:type="dxa"/>
          </w:tcPr>
          <w:p w14:paraId="3489ADFF">
            <w:pPr>
              <w:pStyle w:val="24"/>
              <w:spacing w:after="0"/>
            </w:pPr>
          </w:p>
        </w:tc>
        <w:tc>
          <w:tcPr>
            <w:tcW w:w="993" w:type="dxa"/>
          </w:tcPr>
          <w:p w14:paraId="060C3F75">
            <w:pPr>
              <w:pStyle w:val="24"/>
              <w:spacing w:after="0"/>
            </w:pPr>
          </w:p>
        </w:tc>
        <w:tc>
          <w:tcPr>
            <w:tcW w:w="1074" w:type="dxa"/>
          </w:tcPr>
          <w:p w14:paraId="3CC87817">
            <w:pPr>
              <w:pStyle w:val="24"/>
              <w:spacing w:after="0"/>
            </w:pPr>
          </w:p>
        </w:tc>
        <w:tc>
          <w:tcPr>
            <w:tcW w:w="2186" w:type="dxa"/>
          </w:tcPr>
          <w:p w14:paraId="71B3D7AE">
            <w:pPr>
              <w:pStyle w:val="24"/>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6"/>
            </w:pPr>
          </w:p>
        </w:tc>
        <w:tc>
          <w:tcPr>
            <w:tcW w:w="1134" w:type="dxa"/>
          </w:tcPr>
          <w:p w14:paraId="5F684E95">
            <w:pPr>
              <w:pStyle w:val="26"/>
            </w:pPr>
          </w:p>
        </w:tc>
        <w:tc>
          <w:tcPr>
            <w:tcW w:w="2409" w:type="dxa"/>
          </w:tcPr>
          <w:p w14:paraId="3F9BA4C9">
            <w:pPr>
              <w:pStyle w:val="26"/>
            </w:pPr>
          </w:p>
        </w:tc>
        <w:tc>
          <w:tcPr>
            <w:tcW w:w="993" w:type="dxa"/>
          </w:tcPr>
          <w:p w14:paraId="510D9A1F">
            <w:pPr>
              <w:pStyle w:val="26"/>
            </w:pPr>
          </w:p>
        </w:tc>
        <w:tc>
          <w:tcPr>
            <w:tcW w:w="1074" w:type="dxa"/>
          </w:tcPr>
          <w:p w14:paraId="11DE6EB5">
            <w:pPr>
              <w:pStyle w:val="26"/>
            </w:pPr>
          </w:p>
        </w:tc>
        <w:tc>
          <w:tcPr>
            <w:tcW w:w="2186" w:type="dxa"/>
          </w:tcPr>
          <w:p w14:paraId="1D49C842">
            <w:pPr>
              <w:pStyle w:val="26"/>
            </w:pPr>
          </w:p>
        </w:tc>
      </w:tr>
    </w:tbl>
    <w:p w14:paraId="7EC5BA9E">
      <w:pPr>
        <w:pStyle w:val="29"/>
      </w:pPr>
    </w:p>
    <w:p w14:paraId="6D42259E">
      <w:pPr>
        <w:pStyle w:val="24"/>
      </w:pPr>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8315498">
            <w:pPr>
              <w:pStyle w:val="24"/>
              <w:spacing w:after="0"/>
            </w:pPr>
            <w:r>
              <w:rPr>
                <w:i w:val="0"/>
                <w:iCs/>
              </w:rPr>
              <w:t>TS 28.531</w:t>
            </w:r>
          </w:p>
        </w:tc>
        <w:tc>
          <w:tcPr>
            <w:tcW w:w="4344" w:type="dxa"/>
            <w:tcBorders>
              <w:top w:val="single" w:color="auto" w:sz="4" w:space="0"/>
              <w:left w:val="single" w:color="auto" w:sz="4" w:space="0"/>
              <w:bottom w:val="single" w:color="auto" w:sz="4" w:space="0"/>
              <w:right w:val="single" w:color="auto" w:sz="4" w:space="0"/>
            </w:tcBorders>
            <w:vAlign w:val="top"/>
          </w:tcPr>
          <w:p w14:paraId="292C4506">
            <w:pPr>
              <w:pStyle w:val="24"/>
              <w:spacing w:after="0"/>
            </w:pPr>
            <w:r>
              <w:rPr>
                <w:i w:val="0"/>
                <w:iCs/>
              </w:rPr>
              <w:t>Add support</w:t>
            </w:r>
            <w:r>
              <w:rPr>
                <w:rFonts w:hint="default" w:eastAsia="Times New Roman"/>
                <w:i w:val="0"/>
                <w:iCs/>
                <w:lang w:val="en-US" w:eastAsia="zh-CN"/>
              </w:rPr>
              <w:t xml:space="preserve"> to</w:t>
            </w:r>
            <w:r>
              <w:rPr>
                <w:rFonts w:hint="default"/>
                <w:i w:val="0"/>
                <w:iCs/>
                <w:lang w:val="en-US"/>
              </w:rPr>
              <w:t xml:space="preserve"> both NFV-ΜΑΝΟ and Non-ETSI NFV MANO for LCM of NF Deployment</w:t>
            </w:r>
          </w:p>
        </w:tc>
        <w:tc>
          <w:tcPr>
            <w:tcW w:w="1417" w:type="dxa"/>
            <w:tcBorders>
              <w:top w:val="single" w:color="auto" w:sz="4" w:space="0"/>
              <w:left w:val="single" w:color="auto" w:sz="4" w:space="0"/>
              <w:bottom w:val="single" w:color="auto" w:sz="4" w:space="0"/>
              <w:right w:val="single" w:color="auto" w:sz="4" w:space="0"/>
            </w:tcBorders>
          </w:tcPr>
          <w:p w14:paraId="324C6F03">
            <w:pPr>
              <w:pStyle w:val="24"/>
              <w:spacing w:after="0"/>
              <w:rPr>
                <w:rFonts w:hint="default" w:eastAsia="Times New Roman"/>
                <w:i w:val="0"/>
                <w:iCs/>
                <w:lang w:val="en-US" w:eastAsia="zh-CN"/>
              </w:rPr>
            </w:pPr>
            <w:r>
              <w:rPr>
                <w:i w:val="0"/>
                <w:iCs/>
                <w:lang w:val="en-US"/>
              </w:rPr>
              <w:t>TSG</w:t>
            </w:r>
            <w:r>
              <w:rPr>
                <w:rFonts w:hint="eastAsia" w:eastAsia="宋体"/>
                <w:i w:val="0"/>
                <w:iCs/>
                <w:lang w:val="en-US" w:eastAsia="zh-CN"/>
              </w:rPr>
              <w:t xml:space="preserve"> SA</w:t>
            </w:r>
            <w:r>
              <w:rPr>
                <w:i w:val="0"/>
                <w:iCs/>
                <w:lang w:val="en-US"/>
              </w:rPr>
              <w:t>#</w:t>
            </w:r>
            <w:r>
              <w:rPr>
                <w:rFonts w:hint="default" w:eastAsia="Times New Roman"/>
                <w:i w:val="0"/>
                <w:iCs/>
                <w:lang w:val="en-US" w:eastAsia="zh-CN"/>
              </w:rPr>
              <w:t>114</w:t>
            </w:r>
          </w:p>
          <w:p w14:paraId="2260CA0D">
            <w:pPr>
              <w:pStyle w:val="24"/>
              <w:spacing w:after="0"/>
              <w:rPr>
                <w:i w:val="0"/>
                <w:iCs/>
                <w:lang w:val="en-US"/>
              </w:rPr>
            </w:pPr>
            <w:r>
              <w:rPr>
                <w:rFonts w:hint="default" w:eastAsia="Times New Roman"/>
                <w:i w:val="0"/>
                <w:iCs/>
                <w:lang w:val="en-US" w:eastAsia="zh-CN"/>
              </w:rPr>
              <w:t>(Dec. 2026)</w:t>
            </w:r>
          </w:p>
        </w:tc>
        <w:tc>
          <w:tcPr>
            <w:tcW w:w="2101" w:type="dxa"/>
            <w:tcBorders>
              <w:top w:val="single" w:color="auto" w:sz="4" w:space="0"/>
              <w:left w:val="single" w:color="auto" w:sz="4" w:space="0"/>
              <w:bottom w:val="single" w:color="auto" w:sz="4" w:space="0"/>
              <w:right w:val="single" w:color="auto" w:sz="4" w:space="0"/>
            </w:tcBorders>
          </w:tcPr>
          <w:p w14:paraId="76342A83">
            <w:pPr>
              <w:pStyle w:val="24"/>
              <w:spacing w:after="0"/>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5C315D6">
            <w:pPr>
              <w:pStyle w:val="26"/>
            </w:pPr>
            <w:r>
              <w:rPr>
                <w:rFonts w:ascii="Times New Roman" w:hAnsi="Times New Roman"/>
                <w:sz w:val="20"/>
              </w:rPr>
              <w:t>TS 28.533</w:t>
            </w:r>
          </w:p>
        </w:tc>
        <w:tc>
          <w:tcPr>
            <w:tcW w:w="4344" w:type="dxa"/>
            <w:tcBorders>
              <w:top w:val="single" w:color="auto" w:sz="4" w:space="0"/>
              <w:left w:val="single" w:color="auto" w:sz="4" w:space="0"/>
              <w:bottom w:val="single" w:color="auto" w:sz="4" w:space="0"/>
              <w:right w:val="single" w:color="auto" w:sz="4" w:space="0"/>
            </w:tcBorders>
            <w:vAlign w:val="top"/>
          </w:tcPr>
          <w:p w14:paraId="5829B976">
            <w:pPr>
              <w:pStyle w:val="24"/>
            </w:pPr>
            <w:r>
              <w:rPr>
                <w:rFonts w:ascii="Times New Roman" w:hAnsi="Times New Roman"/>
                <w:i w:val="0"/>
                <w:iCs/>
                <w:sz w:val="20"/>
              </w:rPr>
              <w:t>Potential update on the existing clauses regarding management interaction with ETSI NFV MANO</w:t>
            </w:r>
          </w:p>
        </w:tc>
        <w:tc>
          <w:tcPr>
            <w:tcW w:w="1417" w:type="dxa"/>
            <w:tcBorders>
              <w:top w:val="single" w:color="auto" w:sz="4" w:space="0"/>
              <w:left w:val="single" w:color="auto" w:sz="4" w:space="0"/>
              <w:bottom w:val="single" w:color="auto" w:sz="4" w:space="0"/>
              <w:right w:val="single" w:color="auto" w:sz="4" w:space="0"/>
            </w:tcBorders>
          </w:tcPr>
          <w:p w14:paraId="01C91A69">
            <w:pPr>
              <w:pStyle w:val="24"/>
              <w:spacing w:after="0"/>
              <w:rPr>
                <w:rFonts w:hint="default" w:eastAsia="Times New Roman"/>
                <w:i w:val="0"/>
                <w:iCs/>
                <w:lang w:val="en-US" w:eastAsia="zh-CN"/>
              </w:rPr>
            </w:pPr>
            <w:r>
              <w:rPr>
                <w:i w:val="0"/>
                <w:iCs/>
                <w:lang w:val="en-US"/>
              </w:rPr>
              <w:t>TSG</w:t>
            </w:r>
            <w:r>
              <w:rPr>
                <w:rFonts w:hint="eastAsia" w:eastAsia="宋体"/>
                <w:i w:val="0"/>
                <w:iCs/>
                <w:lang w:val="en-US" w:eastAsia="zh-CN"/>
              </w:rPr>
              <w:t xml:space="preserve"> SA</w:t>
            </w:r>
            <w:r>
              <w:rPr>
                <w:i w:val="0"/>
                <w:iCs/>
                <w:lang w:val="en-US"/>
              </w:rPr>
              <w:t>#</w:t>
            </w:r>
            <w:r>
              <w:rPr>
                <w:rFonts w:hint="default" w:eastAsia="Times New Roman"/>
                <w:i w:val="0"/>
                <w:iCs/>
                <w:lang w:val="en-US" w:eastAsia="zh-CN"/>
              </w:rPr>
              <w:t>114</w:t>
            </w:r>
          </w:p>
          <w:p w14:paraId="1B83F785">
            <w:pPr>
              <w:pStyle w:val="24"/>
              <w:rPr>
                <w:i w:val="0"/>
                <w:iCs/>
                <w:lang w:val="en-US"/>
              </w:rPr>
            </w:pPr>
            <w:r>
              <w:rPr>
                <w:rFonts w:hint="default" w:eastAsia="Times New Roman"/>
                <w:i w:val="0"/>
                <w:iCs/>
                <w:lang w:val="en-US" w:eastAsia="zh-CN"/>
              </w:rPr>
              <w:t>(Dec. 2026)</w:t>
            </w: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bl>
    <w:p w14:paraId="704C8A6E"/>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6F6D83AC">
      <w:pPr>
        <w:pStyle w:val="24"/>
      </w:pPr>
    </w:p>
    <w:p w14:paraId="701911C3">
      <w:pPr>
        <w:pStyle w:val="2"/>
        <w:keepLines/>
        <w:pBdr>
          <w:top w:val="single" w:color="auto" w:sz="12" w:space="3"/>
        </w:pBdr>
        <w:spacing w:before="240"/>
        <w:ind w:left="1134" w:hanging="1134"/>
      </w:pPr>
      <w:r>
        <w:rPr>
          <w:b w:val="0"/>
          <w:sz w:val="36"/>
          <w:lang w:eastAsia="ja-JP"/>
        </w:rPr>
        <w:t>7</w:t>
      </w:r>
      <w:r>
        <w:rPr>
          <w:b w:val="0"/>
          <w:sz w:val="36"/>
          <w:lang w:eastAsia="ja-JP"/>
        </w:rPr>
        <w:tab/>
      </w:r>
      <w:r>
        <w:rPr>
          <w:b w:val="0"/>
          <w:sz w:val="36"/>
          <w:lang w:eastAsia="ja-JP"/>
        </w:rPr>
        <w:t>Work item leadership</w:t>
      </w:r>
    </w:p>
    <w:p w14:paraId="0B94DB22">
      <w:pPr>
        <w:rPr>
          <w:rFonts w:hint="default" w:eastAsia="宋体"/>
          <w:lang w:val="en-US" w:eastAsia="zh-CN"/>
        </w:rPr>
      </w:pPr>
      <w:r>
        <w:rPr>
          <w:rFonts w:hint="eastAsia" w:eastAsia="宋体"/>
          <w:lang w:val="en-US" w:eastAsia="zh-CN"/>
        </w:rPr>
        <w:t>SA5</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4AF0C935">
      <w:pPr>
        <w:rPr>
          <w:rFonts w:eastAsia="宋体"/>
          <w:lang w:val="en-US" w:eastAsia="zh-CN"/>
        </w:rPr>
      </w:pPr>
      <w:r>
        <w:rPr>
          <w:i w:val="0"/>
          <w:lang w:eastAsia="ko-KR"/>
        </w:rPr>
        <w:t>None</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4"/>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5F41A52D">
            <w:pPr>
              <w:pStyle w:val="26"/>
              <w:jc w:val="center"/>
            </w:pPr>
            <w:r>
              <w:rPr>
                <w:rFonts w:hint="eastAsia" w:eastAsia="宋体"/>
                <w:lang w:val="en-US" w:eastAsia="zh-CN"/>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3ABE29D5">
            <w:pPr>
              <w:pStyle w:val="26"/>
              <w:jc w:val="center"/>
            </w:pPr>
            <w:r>
              <w:rPr>
                <w:rFonts w:hint="eastAsia" w:eastAsia="宋体"/>
                <w:lang w:val="en-US" w:eastAsia="zh-CN"/>
              </w:rPr>
              <w:t>Rakuten Mobile</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37445962">
            <w:pPr>
              <w:pStyle w:val="26"/>
              <w:jc w:val="center"/>
            </w:pPr>
            <w:r>
              <w:rPr>
                <w:rFonts w:hint="eastAsia" w:eastAsia="宋体"/>
                <w:lang w:val="en-US" w:eastAsia="zh-CN"/>
              </w:rPr>
              <w:t>AT&amp;T</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4A1E7A61">
            <w:pPr>
              <w:pStyle w:val="26"/>
              <w:jc w:val="center"/>
            </w:pPr>
            <w:r>
              <w:rPr>
                <w:rFonts w:hint="eastAsia" w:eastAsia="宋体"/>
                <w:lang w:val="en-US" w:eastAsia="zh-CN"/>
              </w:rPr>
              <w:t>Orange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3E863CFD">
            <w:pPr>
              <w:pStyle w:val="26"/>
              <w:jc w:val="center"/>
            </w:pPr>
            <w:r>
              <w:t>Ericsson</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78DC25D6">
            <w:pPr>
              <w:pStyle w:val="26"/>
              <w:jc w:val="center"/>
            </w:pPr>
            <w:r>
              <w:t>Nokia</w:t>
            </w:r>
          </w:p>
        </w:tc>
      </w:tr>
      <w:tr w14:paraId="09BC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79CC508E">
            <w:pPr>
              <w:pStyle w:val="26"/>
              <w:jc w:val="center"/>
            </w:pPr>
            <w:r>
              <w:rPr>
                <w:rFonts w:hint="eastAsia" w:eastAsia="宋体"/>
                <w:lang w:val="en-US" w:eastAsia="zh-CN"/>
              </w:rPr>
              <w:t>CATT</w:t>
            </w:r>
          </w:p>
        </w:tc>
      </w:tr>
      <w:tr w14:paraId="7CB0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5F9B8F69">
            <w:pPr>
              <w:pStyle w:val="26"/>
              <w:jc w:val="center"/>
            </w:pPr>
            <w:r>
              <w:rPr>
                <w:rFonts w:hint="eastAsia" w:eastAsia="宋体"/>
                <w:lang w:val="en-US" w:eastAsia="zh-CN"/>
              </w:rPr>
              <w:t>AsiaInfo</w:t>
            </w:r>
          </w:p>
        </w:tc>
      </w:tr>
      <w:tr w14:paraId="4FDCB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735DE7C7">
            <w:pPr>
              <w:pStyle w:val="26"/>
              <w:jc w:val="center"/>
            </w:pPr>
            <w:r>
              <w:rPr>
                <w:rFonts w:hint="eastAsia" w:eastAsia="宋体"/>
                <w:lang w:val="en-US" w:eastAsia="zh-CN"/>
              </w:rPr>
              <w:t>ZTE</w:t>
            </w:r>
          </w:p>
        </w:tc>
      </w:tr>
      <w:tr w14:paraId="06FA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112CC0B4">
            <w:pPr>
              <w:pStyle w:val="26"/>
              <w:jc w:val="center"/>
              <w:rPr>
                <w:rFonts w:hint="eastAsia" w:eastAsia="宋体"/>
                <w:lang w:val="en-US" w:eastAsia="zh-CN"/>
              </w:rPr>
            </w:pPr>
            <w:r>
              <w:rPr>
                <w:rFonts w:hint="eastAsia" w:eastAsia="宋体"/>
                <w:lang w:val="en-US" w:eastAsia="zh-CN"/>
              </w:rPr>
              <w:t>Verizon</w:t>
            </w:r>
          </w:p>
        </w:tc>
      </w:tr>
      <w:tr w14:paraId="1236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79AF95DD">
            <w:pPr>
              <w:pStyle w:val="26"/>
              <w:jc w:val="center"/>
            </w:pPr>
            <w:r>
              <w:rPr>
                <w:rFonts w:hint="eastAsia" w:eastAsia="宋体"/>
                <w:lang w:val="en-US" w:eastAsia="zh-CN"/>
              </w:rPr>
              <w:t xml:space="preserve">Telecom Italia </w:t>
            </w:r>
          </w:p>
        </w:tc>
      </w:tr>
      <w:tr w14:paraId="0703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2C2BBCD8">
            <w:pPr>
              <w:pStyle w:val="26"/>
              <w:jc w:val="center"/>
            </w:pPr>
            <w:r>
              <w:rPr>
                <w:rFonts w:hint="eastAsia"/>
              </w:rPr>
              <w:t xml:space="preserve">China </w:t>
            </w:r>
            <w:r>
              <w:rPr>
                <w:rFonts w:hint="eastAsia" w:eastAsia="宋体"/>
                <w:lang w:val="en-US" w:eastAsia="zh-CN"/>
              </w:rPr>
              <w:t>U</w:t>
            </w:r>
            <w:r>
              <w:rPr>
                <w:rFonts w:hint="eastAsia"/>
              </w:rPr>
              <w:t>nicom</w:t>
            </w:r>
          </w:p>
        </w:tc>
      </w:tr>
      <w:tr w14:paraId="5906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5643F19E">
            <w:pPr>
              <w:pStyle w:val="26"/>
              <w:jc w:val="center"/>
            </w:pPr>
          </w:p>
        </w:tc>
      </w:tr>
    </w:tbl>
    <w:p w14:paraId="188ABEAE"/>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CE48AB"/>
    <w:multiLevelType w:val="multilevel"/>
    <w:tmpl w:val="5ACE48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7601"/>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311F25"/>
    <w:rsid w:val="029E0CDB"/>
    <w:rsid w:val="02A42BE4"/>
    <w:rsid w:val="02CE42B9"/>
    <w:rsid w:val="05847419"/>
    <w:rsid w:val="05D22D9C"/>
    <w:rsid w:val="0603356B"/>
    <w:rsid w:val="082657EF"/>
    <w:rsid w:val="088E3F19"/>
    <w:rsid w:val="08A84AC3"/>
    <w:rsid w:val="09275C9C"/>
    <w:rsid w:val="09CB066F"/>
    <w:rsid w:val="0B4F5C9B"/>
    <w:rsid w:val="0D822738"/>
    <w:rsid w:val="0D8A7B44"/>
    <w:rsid w:val="0EB175A7"/>
    <w:rsid w:val="0FD8068E"/>
    <w:rsid w:val="104C2BCB"/>
    <w:rsid w:val="10992CCA"/>
    <w:rsid w:val="10FF63AC"/>
    <w:rsid w:val="111B1F9F"/>
    <w:rsid w:val="11295758"/>
    <w:rsid w:val="13581549"/>
    <w:rsid w:val="14A66C6D"/>
    <w:rsid w:val="168A398A"/>
    <w:rsid w:val="17521B3D"/>
    <w:rsid w:val="178913EC"/>
    <w:rsid w:val="17CE2D1D"/>
    <w:rsid w:val="192E68D6"/>
    <w:rsid w:val="1BBB420C"/>
    <w:rsid w:val="1C857158"/>
    <w:rsid w:val="1DDF3F11"/>
    <w:rsid w:val="1E266349"/>
    <w:rsid w:val="1EFF4369"/>
    <w:rsid w:val="201673B4"/>
    <w:rsid w:val="21567D40"/>
    <w:rsid w:val="22420C43"/>
    <w:rsid w:val="24E7219B"/>
    <w:rsid w:val="24FC660E"/>
    <w:rsid w:val="251B2C6F"/>
    <w:rsid w:val="25C56306"/>
    <w:rsid w:val="26EE126B"/>
    <w:rsid w:val="276248E7"/>
    <w:rsid w:val="27B841B7"/>
    <w:rsid w:val="27D359E9"/>
    <w:rsid w:val="293314A5"/>
    <w:rsid w:val="29C64F11"/>
    <w:rsid w:val="2A114EDF"/>
    <w:rsid w:val="2AF51106"/>
    <w:rsid w:val="2C2D41D3"/>
    <w:rsid w:val="2CEA3B3F"/>
    <w:rsid w:val="2E1135A2"/>
    <w:rsid w:val="30A203D8"/>
    <w:rsid w:val="340551E6"/>
    <w:rsid w:val="35645510"/>
    <w:rsid w:val="36851D82"/>
    <w:rsid w:val="36A43530"/>
    <w:rsid w:val="37003C4A"/>
    <w:rsid w:val="3812280E"/>
    <w:rsid w:val="3856677A"/>
    <w:rsid w:val="38F0538F"/>
    <w:rsid w:val="39FD3633"/>
    <w:rsid w:val="3A347F09"/>
    <w:rsid w:val="3B366832"/>
    <w:rsid w:val="3C710B39"/>
    <w:rsid w:val="3D393475"/>
    <w:rsid w:val="3E2F1D93"/>
    <w:rsid w:val="40F343C5"/>
    <w:rsid w:val="4124436F"/>
    <w:rsid w:val="4204145F"/>
    <w:rsid w:val="43B3461E"/>
    <w:rsid w:val="43F700E9"/>
    <w:rsid w:val="444F7D1F"/>
    <w:rsid w:val="449149EF"/>
    <w:rsid w:val="459D0CC6"/>
    <w:rsid w:val="45FC3388"/>
    <w:rsid w:val="45FF1C64"/>
    <w:rsid w:val="468034B7"/>
    <w:rsid w:val="47C56873"/>
    <w:rsid w:val="49E02A06"/>
    <w:rsid w:val="4A161D99"/>
    <w:rsid w:val="4A3161C6"/>
    <w:rsid w:val="4ACD18C8"/>
    <w:rsid w:val="4C30370D"/>
    <w:rsid w:val="4C4B55BC"/>
    <w:rsid w:val="4E073314"/>
    <w:rsid w:val="4E7D54D1"/>
    <w:rsid w:val="4EC85950"/>
    <w:rsid w:val="51861FD1"/>
    <w:rsid w:val="52BC45CC"/>
    <w:rsid w:val="53A235C5"/>
    <w:rsid w:val="54525967"/>
    <w:rsid w:val="54C85862"/>
    <w:rsid w:val="56750AE4"/>
    <w:rsid w:val="56BA52D6"/>
    <w:rsid w:val="56DA4AA0"/>
    <w:rsid w:val="570E71FA"/>
    <w:rsid w:val="584432DE"/>
    <w:rsid w:val="58E608E9"/>
    <w:rsid w:val="5A2D4BC5"/>
    <w:rsid w:val="5BAC2376"/>
    <w:rsid w:val="5BEA43D9"/>
    <w:rsid w:val="5C0D5892"/>
    <w:rsid w:val="5CD72D5D"/>
    <w:rsid w:val="5D8B7388"/>
    <w:rsid w:val="5DD76183"/>
    <w:rsid w:val="5E7A120F"/>
    <w:rsid w:val="5EE666D0"/>
    <w:rsid w:val="5F1C2F97"/>
    <w:rsid w:val="5FE1785D"/>
    <w:rsid w:val="5FF63F7F"/>
    <w:rsid w:val="61010625"/>
    <w:rsid w:val="62AB5771"/>
    <w:rsid w:val="63105496"/>
    <w:rsid w:val="633E4CE0"/>
    <w:rsid w:val="638266CE"/>
    <w:rsid w:val="63EC51C7"/>
    <w:rsid w:val="65390AAF"/>
    <w:rsid w:val="66747D26"/>
    <w:rsid w:val="67421678"/>
    <w:rsid w:val="674E548A"/>
    <w:rsid w:val="678A54A5"/>
    <w:rsid w:val="67F56F1D"/>
    <w:rsid w:val="689B2F2E"/>
    <w:rsid w:val="6A174619"/>
    <w:rsid w:val="6C670665"/>
    <w:rsid w:val="6F116045"/>
    <w:rsid w:val="6F884D8A"/>
    <w:rsid w:val="702B7E17"/>
    <w:rsid w:val="7118679B"/>
    <w:rsid w:val="718070C4"/>
    <w:rsid w:val="72793F71"/>
    <w:rsid w:val="73690269"/>
    <w:rsid w:val="73D9051D"/>
    <w:rsid w:val="74450ED1"/>
    <w:rsid w:val="760011A7"/>
    <w:rsid w:val="76435113"/>
    <w:rsid w:val="764E6D27"/>
    <w:rsid w:val="79722D4C"/>
    <w:rsid w:val="79B6253C"/>
    <w:rsid w:val="7B785A20"/>
    <w:rsid w:val="7BD43F2A"/>
    <w:rsid w:val="7BFE399B"/>
    <w:rsid w:val="7C0B6268"/>
    <w:rsid w:val="7D087430"/>
    <w:rsid w:val="7DD86484"/>
    <w:rsid w:val="7E191C8F"/>
    <w:rsid w:val="7E6418EB"/>
    <w:rsid w:val="7FA038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character" w:styleId="17">
    <w:name w:val="Emphasis"/>
    <w:basedOn w:val="15"/>
    <w:qFormat/>
    <w:uiPriority w:val="0"/>
    <w:rPr>
      <w:i/>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1120</Words>
  <Characters>6388</Characters>
  <Lines>53</Lines>
  <Paragraphs>14</Paragraphs>
  <TotalTime>17</TotalTime>
  <ScaleCrop>false</ScaleCrop>
  <LinksUpToDate>false</LinksUpToDate>
  <CharactersWithSpaces>7494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guang</cp:lastModifiedBy>
  <cp:lastPrinted>2001-04-23T09:30:00Z</cp:lastPrinted>
  <dcterms:modified xsi:type="dcterms:W3CDTF">2025-10-17T04:14:58Z</dcterms:modified>
  <dc:title>Source: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1D426C1E506C42A499700215D9A0F45F_13</vt:lpwstr>
  </property>
</Properties>
</file>